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Order Contract with an anticipated contract value in excess of £20 million (excluding VAT) shall be awarded to the Supplier if it does not show that it meets the minimum standards of reliability as set out in the </w:t>
      </w:r>
      <w:r w:rsidDel="00000000" w:rsidR="00000000" w:rsidRPr="00000000">
        <w:rPr>
          <w:rFonts w:ascii="Arial" w:cs="Arial" w:eastAsia="Arial" w:hAnsi="Arial"/>
          <w:sz w:val="24"/>
          <w:szCs w:val="24"/>
          <w:rtl w:val="0"/>
        </w:rPr>
        <w:t xml:space="preserve">FTS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Order Contract.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DPS Contract for material Default under Clause 10.4 (When CCS or the Buyer can end this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tabs>
          <w:tab w:val="left" w:pos="2440"/>
        </w:tabs>
        <w:rPr/>
      </w:pPr>
      <w:r w:rsidDel="00000000" w:rsidR="00000000" w:rsidRPr="00000000">
        <w:rPr>
          <w:rtl w:val="0"/>
        </w:rPr>
        <w:tab/>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YqQ8LJC8N0UkvwFYBt5G6UI3Cg==">AMUW2mWJA470Tjvr8+0un/CHOQmojsP6hx7eLdluFKlsHWTOKhOlmJoPi6U18k4/yCN5vPjbI3ofF7fU9z2PgnfgFJSNc7HYTIhWbjRoQzI+L9z6o3yAtb827hrapv+VEQJd/cN3wCea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2022-09-26T11:24:00Z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